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119" w:rsidRPr="00F72FD4" w:rsidRDefault="007A0119" w:rsidP="007A0119">
      <w:pPr>
        <w:jc w:val="center"/>
        <w:rPr>
          <w:rFonts w:ascii="Century Gothic" w:hAnsi="Century Gothic"/>
          <w:b/>
        </w:rPr>
      </w:pPr>
      <w:r>
        <w:rPr>
          <w:rFonts w:ascii="Century Gothic" w:hAnsi="Century Gothic"/>
          <w:b/>
        </w:rPr>
        <w:t>Aviso de Privacidad Integral del Procedimiento de Responsabilidades Administrativas</w:t>
      </w:r>
    </w:p>
    <w:p w:rsidR="007A0119" w:rsidRPr="00F72FD4" w:rsidRDefault="007A0119" w:rsidP="007A0119">
      <w:pPr>
        <w:jc w:val="both"/>
        <w:rPr>
          <w:rFonts w:ascii="Century Gothic" w:hAnsi="Century Gothic"/>
        </w:rPr>
      </w:pPr>
      <w:r w:rsidRPr="00F72FD4">
        <w:rPr>
          <w:rFonts w:ascii="Century Gothic" w:hAnsi="Century Gothic"/>
          <w:b/>
        </w:rPr>
        <w:t>El Congreso del Estado de Sinaloa</w:t>
      </w:r>
      <w:r w:rsidRPr="00F72FD4">
        <w:rPr>
          <w:rFonts w:ascii="Century Gothic" w:hAnsi="Century Gothic"/>
        </w:rPr>
        <w:t xml:space="preserve">, con </w:t>
      </w:r>
      <w:r w:rsidRPr="00CA0FC0">
        <w:rPr>
          <w:rFonts w:ascii="Century Gothic" w:hAnsi="Century Gothic"/>
        </w:rPr>
        <w:t>sede en Boulevard Pedro</w:t>
      </w:r>
      <w:bookmarkStart w:id="0" w:name="_GoBack"/>
      <w:bookmarkEnd w:id="0"/>
      <w:r w:rsidRPr="00F72FD4">
        <w:rPr>
          <w:rFonts w:ascii="Century Gothic" w:hAnsi="Century Gothic"/>
        </w:rPr>
        <w:t xml:space="preserve"> Infante No. 2155 Poniente Fraccionamiento Jardines Tres Ríos, Código Postal 80100, Culiacán, Sinaloa. Teléfono 01 (667) 758-15-00 Lada sin costo: 01 800 250 2122, es el responsable del tratamiento de los datos personales que </w:t>
      </w:r>
      <w:r w:rsidRPr="00E43F2D">
        <w:rPr>
          <w:rFonts w:ascii="Century Gothic" w:hAnsi="Century Gothic"/>
        </w:rPr>
        <w:t>se recaben de toda persona a quien se le inicie un procedimiento de responsabilidad administrativa</w:t>
      </w:r>
      <w:r w:rsidRPr="00F72FD4">
        <w:rPr>
          <w:rFonts w:ascii="Century Gothic" w:hAnsi="Century Gothic"/>
        </w:rPr>
        <w:t>, y s</w:t>
      </w:r>
      <w:r>
        <w:rPr>
          <w:rFonts w:ascii="Century Gothic" w:hAnsi="Century Gothic"/>
        </w:rPr>
        <w:t>erán</w:t>
      </w:r>
      <w:r w:rsidRPr="00F72FD4">
        <w:rPr>
          <w:rFonts w:ascii="Century Gothic" w:hAnsi="Century Gothic"/>
        </w:rPr>
        <w:t xml:space="preserve"> utilizados exclusivamente para integrar un expediente, datos que serán protegidos conforme a los dispuesto en la Ley General de Protección de Datos Personales en Posesión de los Sujetos Obligados y la Ley de Protección de Datos Personales en Posesión de Sujetos Obligados del Estado de Sinaloa,  y demás normatividad que resulte aplicable.</w:t>
      </w:r>
    </w:p>
    <w:p w:rsidR="007A0119" w:rsidRDefault="007A0119" w:rsidP="007A0119">
      <w:pPr>
        <w:jc w:val="both"/>
        <w:rPr>
          <w:rFonts w:ascii="Century Gothic" w:hAnsi="Century Gothic"/>
        </w:rPr>
      </w:pPr>
      <w:r w:rsidRPr="00F72FD4">
        <w:rPr>
          <w:rFonts w:ascii="Century Gothic" w:hAnsi="Century Gothic"/>
          <w:b/>
        </w:rPr>
        <w:t>¿Qué datos personales se recaban y para que finalidad?</w:t>
      </w:r>
      <w:r w:rsidRPr="00F72FD4">
        <w:rPr>
          <w:rFonts w:ascii="Century Gothic" w:hAnsi="Century Gothic"/>
        </w:rPr>
        <w:t xml:space="preserve"> </w:t>
      </w:r>
    </w:p>
    <w:p w:rsidR="007A0119" w:rsidRPr="00B362B9" w:rsidRDefault="007A0119" w:rsidP="007A0119">
      <w:pPr>
        <w:jc w:val="both"/>
        <w:rPr>
          <w:rFonts w:ascii="Century Gothic" w:hAnsi="Century Gothic"/>
        </w:rPr>
      </w:pPr>
      <w:r w:rsidRPr="00E43F2D">
        <w:rPr>
          <w:rFonts w:ascii="Century Gothic" w:hAnsi="Century Gothic"/>
        </w:rPr>
        <w:t xml:space="preserve">Se recabaran los siguientes datos personales: Nombre, domicilio, sexo, estado civil, edad, firma, Clave Única de Registro de Población (CURP), clave de elector, folio OCR de la credencial para votar con fotografía, (número de licencia de manejo, número de cartilla de servicio militar, número de pasaporte, cédula profesional, únicamente cuando se identifique con alguno de estos documentos oficiales), nacionalidad, grado académico, y la información relativa a una persona que se encuentre sujeta a un procedimiento de </w:t>
      </w:r>
      <w:r w:rsidRPr="00B362B9">
        <w:rPr>
          <w:rFonts w:ascii="Century Gothic" w:hAnsi="Century Gothic"/>
        </w:rPr>
        <w:t>responsabilidad administrativa.</w:t>
      </w:r>
    </w:p>
    <w:p w:rsidR="007A0119" w:rsidRPr="00B362B9" w:rsidRDefault="007A0119" w:rsidP="007A0119">
      <w:pPr>
        <w:jc w:val="both"/>
        <w:rPr>
          <w:rFonts w:ascii="Century Gothic" w:hAnsi="Century Gothic"/>
        </w:rPr>
      </w:pPr>
      <w:r w:rsidRPr="00B362B9">
        <w:t xml:space="preserve"> </w:t>
      </w:r>
      <w:r w:rsidRPr="00B362B9">
        <w:rPr>
          <w:rFonts w:ascii="Century Gothic" w:hAnsi="Century Gothic"/>
        </w:rPr>
        <w:t>Los datos personales recabados, serán utilizados para</w:t>
      </w:r>
      <w:r w:rsidRPr="00B362B9">
        <w:t xml:space="preserve">: </w:t>
      </w:r>
      <w:r w:rsidRPr="00B362B9">
        <w:rPr>
          <w:rFonts w:ascii="Century Gothic" w:hAnsi="Century Gothic"/>
        </w:rPr>
        <w:t>a) Integrar el expediente de responsabilidad administrativa; b) Llevar registro y control general; c) Realizar notificaciones; d) Desahogar las pruebas cuando así lo amerite; e) Emitir resolución; f) Determinar sanción en caso de que proceda; g) Emitir el informe correspondiente al Tribunal de Justicia Administrativa, h) Emitir informes ante las autoridades estatales o federales que requieran legalmente alguna información; i) Generar reportes o estadísticas sin que se haga identificable al titular de los datos personales; y j) Cumplimiento de obligaciones de transparencia en cumplimiento a la Ley de Transparencia y Acceso a la Información Pública para el Estado de Sinaloa.</w:t>
      </w:r>
    </w:p>
    <w:p w:rsidR="007A0119" w:rsidRPr="00B362B9" w:rsidRDefault="007A0119" w:rsidP="007A0119">
      <w:pPr>
        <w:jc w:val="both"/>
        <w:rPr>
          <w:rFonts w:ascii="Century Gothic" w:hAnsi="Century Gothic"/>
          <w:b/>
        </w:rPr>
      </w:pPr>
      <w:r w:rsidRPr="00B362B9">
        <w:rPr>
          <w:rFonts w:ascii="Century Gothic" w:hAnsi="Century Gothic"/>
          <w:b/>
        </w:rPr>
        <w:t>Fundamento para el tratamiento de datos personales</w:t>
      </w:r>
    </w:p>
    <w:p w:rsidR="007A0119" w:rsidRPr="00B362B9" w:rsidRDefault="007A0119" w:rsidP="007A0119">
      <w:pPr>
        <w:jc w:val="both"/>
        <w:rPr>
          <w:rFonts w:ascii="Century Gothic" w:hAnsi="Century Gothic"/>
        </w:rPr>
      </w:pPr>
      <w:r w:rsidRPr="00B362B9">
        <w:rPr>
          <w:rFonts w:ascii="Century Gothic" w:hAnsi="Century Gothic"/>
        </w:rPr>
        <w:t xml:space="preserve">El H. Congreso del Estado de Sinaloa tratará los datos personales antes señalados conforme a lo dispuesto en los artículos </w:t>
      </w:r>
      <w:r w:rsidR="005F69B4">
        <w:rPr>
          <w:rFonts w:ascii="Century Gothic" w:hAnsi="Century Gothic"/>
        </w:rPr>
        <w:t xml:space="preserve">4 Bis A fracción VII de la Constitución </w:t>
      </w:r>
      <w:r w:rsidR="00724E16" w:rsidRPr="00CA0FC0">
        <w:rPr>
          <w:rFonts w:ascii="Century Gothic" w:hAnsi="Century Gothic"/>
        </w:rPr>
        <w:t xml:space="preserve">Política </w:t>
      </w:r>
      <w:r w:rsidR="005F69B4" w:rsidRPr="00CA0FC0">
        <w:rPr>
          <w:rFonts w:ascii="Century Gothic" w:hAnsi="Century Gothic"/>
        </w:rPr>
        <w:t xml:space="preserve">del Estado de Sinaloa; </w:t>
      </w:r>
      <w:r w:rsidRPr="00CA0FC0">
        <w:rPr>
          <w:rFonts w:ascii="Century Gothic" w:hAnsi="Century Gothic"/>
        </w:rPr>
        <w:t>3 fracciones II, III, IV y XX, 9 fracción II y 10 de la</w:t>
      </w:r>
      <w:r w:rsidRPr="00B362B9">
        <w:rPr>
          <w:rFonts w:ascii="Century Gothic" w:hAnsi="Century Gothic"/>
        </w:rPr>
        <w:t xml:space="preserve"> Ley de Responsabilidades Administrativas del Estado de Sinaloa y 21 y 22, fracción VI y 27 bis E de la Ley de Transparencia y Acceso a la Información Pública del Estado de Sinaloa y la demás normatividad que resulte aplicable.</w:t>
      </w:r>
    </w:p>
    <w:p w:rsidR="007A0119" w:rsidRPr="00B362B9" w:rsidRDefault="007A0119" w:rsidP="007A0119">
      <w:pPr>
        <w:jc w:val="both"/>
        <w:rPr>
          <w:rFonts w:ascii="Century Gothic" w:hAnsi="Century Gothic"/>
          <w:b/>
        </w:rPr>
      </w:pPr>
      <w:r w:rsidRPr="00B362B9">
        <w:rPr>
          <w:rFonts w:ascii="Century Gothic" w:hAnsi="Century Gothic"/>
          <w:b/>
        </w:rPr>
        <w:lastRenderedPageBreak/>
        <w:t>Mecanismos para ejercer derechos ARCO</w:t>
      </w:r>
    </w:p>
    <w:p w:rsidR="007A0119" w:rsidRPr="00B362B9" w:rsidRDefault="007A0119" w:rsidP="007A0119">
      <w:pPr>
        <w:jc w:val="both"/>
        <w:rPr>
          <w:rFonts w:ascii="Century Gothic" w:hAnsi="Century Gothic"/>
        </w:rPr>
      </w:pPr>
      <w:r w:rsidRPr="00B362B9">
        <w:rPr>
          <w:rFonts w:ascii="Century Gothic" w:hAnsi="Century Gothic"/>
        </w:rPr>
        <w:t xml:space="preserve">Usted podrá ejercer sus derechos de acceso, rectificación, cancelación u oposición de sus datos personales (derechos ARCO) directamente ante la Unidad de Transparencia de este Poder Legislativo, ubicada en el domicilio ya citado, en un horario de 09:00 a 15:00 Horas, de lunes a viernes. O bien a través de la Plataforma Nacional de Transparencia (http://www.plataformadetransparencia.org.mx). Para recibir asesoría sobre este procedimiento puede llamar al teléfono (667)7581500 Ext. 1896, enviar un correo electrónico a la dirección: (informacion@congresosinaloa.gob.mx), o consultarlo directamente en el sitio de la propia Plataforma Nacional de Transparencia. </w:t>
      </w:r>
    </w:p>
    <w:p w:rsidR="007A0119" w:rsidRPr="00B362B9" w:rsidRDefault="007A0119" w:rsidP="007A0119">
      <w:pPr>
        <w:jc w:val="both"/>
        <w:rPr>
          <w:rFonts w:ascii="Century Gothic" w:hAnsi="Century Gothic"/>
        </w:rPr>
      </w:pPr>
      <w:r w:rsidRPr="00B362B9">
        <w:rPr>
          <w:rFonts w:ascii="Century Gothic" w:hAnsi="Century Gothic"/>
        </w:rPr>
        <w:t xml:space="preserve">Se le informa que no se realizarán transferencias de datos personales, salvo aquellas que sean necesarias para atender requerimientos de información de una autoridad competente, que estén debidamente fundados y motivados, así como las transferencias que atiendan lo establecido en el artículo 89 de la Ley de Protección de Datos Personales en Posesión de Sujetos Obligados del Estado de Sinaloa. </w:t>
      </w:r>
    </w:p>
    <w:p w:rsidR="007A0119" w:rsidRPr="00B362B9" w:rsidRDefault="007A0119" w:rsidP="007A0119">
      <w:pPr>
        <w:jc w:val="both"/>
        <w:rPr>
          <w:rFonts w:ascii="Century Gothic" w:hAnsi="Century Gothic"/>
        </w:rPr>
      </w:pPr>
      <w:r w:rsidRPr="00B362B9">
        <w:rPr>
          <w:rFonts w:ascii="Century Gothic" w:hAnsi="Century Gothic"/>
        </w:rPr>
        <w:t>De conformidad con lo establecido en el artículo 32, fracción III, incisos a) y b) de la Ley General y 32, fracción III de la Ley Estatal, ambas en materia de protección de datos personales en posesión de sujetos obligados, cuando se realicen transferencias de datos personales que requieran consentimiento, se deberá informar: las autoridades, poderes, entidades, órganos y organismos gubernamentales de los tres órdenes de gobierno y las personas físicas o morales a las que se transfieren los datos personales, y las finalidades de estas transferencias.</w:t>
      </w:r>
    </w:p>
    <w:p w:rsidR="007A0119" w:rsidRDefault="007A0119" w:rsidP="007A0119">
      <w:pPr>
        <w:jc w:val="both"/>
        <w:rPr>
          <w:rFonts w:ascii="Century Gothic" w:hAnsi="Century Gothic"/>
        </w:rPr>
      </w:pPr>
      <w:r w:rsidRPr="00B362B9">
        <w:rPr>
          <w:rFonts w:ascii="Century Gothic" w:hAnsi="Century Gothic"/>
        </w:rPr>
        <w:t xml:space="preserve">En caso de que exista un cambio de este aviso de privacidad, lo haremos de su conocimiento al correo electrónico del titular de los datos y/o de manera presencial. </w:t>
      </w:r>
    </w:p>
    <w:p w:rsidR="007A0119" w:rsidRDefault="007A0119" w:rsidP="007A0119">
      <w:pPr>
        <w:jc w:val="both"/>
        <w:rPr>
          <w:rFonts w:ascii="Century Gothic" w:hAnsi="Century Gothic"/>
        </w:rPr>
      </w:pPr>
    </w:p>
    <w:p w:rsidR="007A0119" w:rsidRPr="00066276" w:rsidRDefault="007A0119" w:rsidP="007A0119">
      <w:pPr>
        <w:jc w:val="both"/>
        <w:rPr>
          <w:rFonts w:ascii="Century Gothic" w:hAnsi="Century Gothic"/>
          <w:b/>
        </w:rPr>
      </w:pPr>
      <w:r w:rsidRPr="00066276">
        <w:rPr>
          <w:rFonts w:ascii="Century Gothic" w:hAnsi="Century Gothic"/>
          <w:b/>
        </w:rPr>
        <w:t xml:space="preserve">Fecha: </w:t>
      </w:r>
    </w:p>
    <w:p w:rsidR="007A0119" w:rsidRDefault="007A0119" w:rsidP="007A0119">
      <w:pPr>
        <w:jc w:val="center"/>
        <w:rPr>
          <w:rFonts w:ascii="Century Gothic" w:hAnsi="Century Gothic"/>
        </w:rPr>
      </w:pPr>
    </w:p>
    <w:p w:rsidR="001507AE" w:rsidRPr="007A0119" w:rsidRDefault="007A0119" w:rsidP="007A0119">
      <w:pPr>
        <w:jc w:val="center"/>
        <w:rPr>
          <w:rFonts w:ascii="Century Gothic" w:hAnsi="Century Gothic"/>
          <w:b/>
        </w:rPr>
      </w:pPr>
      <w:r w:rsidRPr="00066276">
        <w:rPr>
          <w:rFonts w:ascii="Century Gothic" w:hAnsi="Century Gothic"/>
          <w:b/>
        </w:rPr>
        <w:t>Nombre y Firma</w:t>
      </w:r>
    </w:p>
    <w:sectPr w:rsidR="001507AE" w:rsidRPr="007A0119" w:rsidSect="00702315">
      <w:headerReference w:type="default" r:id="rId7"/>
      <w:footerReference w:type="default" r:id="rId8"/>
      <w:pgSz w:w="12240" w:h="15840"/>
      <w:pgMar w:top="1418" w:right="1701" w:bottom="1418" w:left="1985" w:header="709" w:footer="709"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467" w:rsidRDefault="00372467" w:rsidP="009E0B3E">
      <w:pPr>
        <w:spacing w:after="0" w:line="240" w:lineRule="auto"/>
      </w:pPr>
      <w:r>
        <w:separator/>
      </w:r>
    </w:p>
  </w:endnote>
  <w:endnote w:type="continuationSeparator" w:id="0">
    <w:p w:rsidR="00372467" w:rsidRDefault="00372467" w:rsidP="009E0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3511152"/>
      <w:docPartObj>
        <w:docPartGallery w:val="Page Numbers (Bottom of Page)"/>
        <w:docPartUnique/>
      </w:docPartObj>
    </w:sdtPr>
    <w:sdtEndPr/>
    <w:sdtContent>
      <w:p w:rsidR="00702315" w:rsidRDefault="00702315" w:rsidP="001507AE">
        <w:pPr>
          <w:pStyle w:val="Piedepgina"/>
        </w:pPr>
        <w:r>
          <w:rPr>
            <w:noProof/>
            <w:lang w:eastAsia="es-MX"/>
          </w:rPr>
          <w:drawing>
            <wp:anchor distT="0" distB="0" distL="114300" distR="114300" simplePos="0" relativeHeight="251660288" behindDoc="1" locked="0" layoutInCell="1" allowOverlap="1" wp14:anchorId="77F34307" wp14:editId="4A5F5429">
              <wp:simplePos x="0" y="0"/>
              <wp:positionH relativeFrom="page">
                <wp:posOffset>107002</wp:posOffset>
              </wp:positionH>
              <wp:positionV relativeFrom="page">
                <wp:posOffset>9195435</wp:posOffset>
              </wp:positionV>
              <wp:extent cx="7540580" cy="788954"/>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Cintillo Paginas, reportes o informes oficiales OIC (1).jpg"/>
                      <pic:cNvPicPr/>
                    </pic:nvPicPr>
                    <pic:blipFill rotWithShape="1">
                      <a:blip r:embed="rId1" cstate="print">
                        <a:extLst>
                          <a:ext uri="{28A0092B-C50C-407E-A947-70E740481C1C}">
                            <a14:useLocalDpi xmlns:a14="http://schemas.microsoft.com/office/drawing/2010/main" val="0"/>
                          </a:ext>
                        </a:extLst>
                      </a:blip>
                      <a:srcRect t="91903" r="176"/>
                      <a:stretch/>
                    </pic:blipFill>
                    <pic:spPr bwMode="auto">
                      <a:xfrm>
                        <a:off x="0" y="0"/>
                        <a:ext cx="7540580" cy="7889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rsidR="00284187" w:rsidRDefault="002841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467" w:rsidRDefault="00372467" w:rsidP="009E0B3E">
      <w:pPr>
        <w:spacing w:after="0" w:line="240" w:lineRule="auto"/>
      </w:pPr>
      <w:r>
        <w:separator/>
      </w:r>
    </w:p>
  </w:footnote>
  <w:footnote w:type="continuationSeparator" w:id="0">
    <w:p w:rsidR="00372467" w:rsidRDefault="00372467" w:rsidP="009E0B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B3E" w:rsidRDefault="00284187">
    <w:pPr>
      <w:pStyle w:val="Encabezado"/>
    </w:pPr>
    <w:r>
      <w:rPr>
        <w:noProof/>
        <w:lang w:eastAsia="es-MX"/>
      </w:rPr>
      <w:drawing>
        <wp:anchor distT="0" distB="0" distL="114300" distR="114300" simplePos="0" relativeHeight="251658240" behindDoc="1" locked="0" layoutInCell="1" allowOverlap="1">
          <wp:simplePos x="0" y="0"/>
          <wp:positionH relativeFrom="margin">
            <wp:posOffset>-1192236</wp:posOffset>
          </wp:positionH>
          <wp:positionV relativeFrom="margin">
            <wp:posOffset>-763951</wp:posOffset>
          </wp:positionV>
          <wp:extent cx="7710985" cy="682388"/>
          <wp:effectExtent l="0" t="0" r="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Cintillo Paginas, reportes o informes oficiales OIC (1).jpg"/>
                  <pic:cNvPicPr/>
                </pic:nvPicPr>
                <pic:blipFill rotWithShape="1">
                  <a:blip r:embed="rId1" cstate="print">
                    <a:extLst>
                      <a:ext uri="{28A0092B-C50C-407E-A947-70E740481C1C}">
                        <a14:useLocalDpi xmlns:a14="http://schemas.microsoft.com/office/drawing/2010/main" val="0"/>
                      </a:ext>
                    </a:extLst>
                  </a:blip>
                  <a:srcRect l="1" r="-1456" b="93044"/>
                  <a:stretch/>
                </pic:blipFill>
                <pic:spPr bwMode="auto">
                  <a:xfrm>
                    <a:off x="0" y="0"/>
                    <a:ext cx="7711170" cy="6824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07018"/>
    <w:multiLevelType w:val="hybridMultilevel"/>
    <w:tmpl w:val="CC2E90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6872891"/>
    <w:multiLevelType w:val="hybridMultilevel"/>
    <w:tmpl w:val="7206DA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25F663E"/>
    <w:multiLevelType w:val="hybridMultilevel"/>
    <w:tmpl w:val="A1384B26"/>
    <w:lvl w:ilvl="0" w:tplc="E7F892E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42771856"/>
    <w:multiLevelType w:val="hybridMultilevel"/>
    <w:tmpl w:val="E30E38D8"/>
    <w:lvl w:ilvl="0" w:tplc="523AF342">
      <w:start w:val="1"/>
      <w:numFmt w:val="upp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nsid w:val="4E5B2F23"/>
    <w:multiLevelType w:val="hybridMultilevel"/>
    <w:tmpl w:val="A20E659A"/>
    <w:lvl w:ilvl="0" w:tplc="90429D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86C6EE8"/>
    <w:multiLevelType w:val="hybridMultilevel"/>
    <w:tmpl w:val="F15E4A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3766CB1"/>
    <w:multiLevelType w:val="hybridMultilevel"/>
    <w:tmpl w:val="2752FF8E"/>
    <w:lvl w:ilvl="0" w:tplc="BFB2B7D0">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66687F4C"/>
    <w:multiLevelType w:val="hybridMultilevel"/>
    <w:tmpl w:val="1ECAB33E"/>
    <w:lvl w:ilvl="0" w:tplc="94FE3D1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9A52EF0"/>
    <w:multiLevelType w:val="hybridMultilevel"/>
    <w:tmpl w:val="2CC630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B295338"/>
    <w:multiLevelType w:val="hybridMultilevel"/>
    <w:tmpl w:val="CC2A12D4"/>
    <w:lvl w:ilvl="0" w:tplc="43E4E3A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71296F82"/>
    <w:multiLevelType w:val="hybridMultilevel"/>
    <w:tmpl w:val="E62E0B3C"/>
    <w:lvl w:ilvl="0" w:tplc="518E173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5"/>
  </w:num>
  <w:num w:numId="5">
    <w:abstractNumId w:val="7"/>
  </w:num>
  <w:num w:numId="6">
    <w:abstractNumId w:val="6"/>
  </w:num>
  <w:num w:numId="7">
    <w:abstractNumId w:val="10"/>
  </w:num>
  <w:num w:numId="8">
    <w:abstractNumId w:val="3"/>
  </w:num>
  <w:num w:numId="9">
    <w:abstractNumId w:val="2"/>
  </w:num>
  <w:num w:numId="10">
    <w:abstractNumId w:val="9"/>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7B5"/>
    <w:rsid w:val="000005DC"/>
    <w:rsid w:val="00052EEF"/>
    <w:rsid w:val="000717FF"/>
    <w:rsid w:val="00080C7A"/>
    <w:rsid w:val="000B616E"/>
    <w:rsid w:val="00122D25"/>
    <w:rsid w:val="001507AE"/>
    <w:rsid w:val="00177223"/>
    <w:rsid w:val="001D586B"/>
    <w:rsid w:val="001F12D2"/>
    <w:rsid w:val="00205830"/>
    <w:rsid w:val="00217336"/>
    <w:rsid w:val="0025329C"/>
    <w:rsid w:val="00284187"/>
    <w:rsid w:val="002B0DAF"/>
    <w:rsid w:val="002E7246"/>
    <w:rsid w:val="002F15A4"/>
    <w:rsid w:val="00311103"/>
    <w:rsid w:val="00354382"/>
    <w:rsid w:val="003568BB"/>
    <w:rsid w:val="00362CBF"/>
    <w:rsid w:val="00365C60"/>
    <w:rsid w:val="00372467"/>
    <w:rsid w:val="003903E1"/>
    <w:rsid w:val="003921A0"/>
    <w:rsid w:val="003D6A68"/>
    <w:rsid w:val="0040263C"/>
    <w:rsid w:val="00402B15"/>
    <w:rsid w:val="00486A76"/>
    <w:rsid w:val="00487C28"/>
    <w:rsid w:val="004A1101"/>
    <w:rsid w:val="004A2029"/>
    <w:rsid w:val="004C5DB8"/>
    <w:rsid w:val="004D0234"/>
    <w:rsid w:val="00504562"/>
    <w:rsid w:val="0052145A"/>
    <w:rsid w:val="0054583E"/>
    <w:rsid w:val="00553756"/>
    <w:rsid w:val="00572CAA"/>
    <w:rsid w:val="00593724"/>
    <w:rsid w:val="005F69B4"/>
    <w:rsid w:val="006B0032"/>
    <w:rsid w:val="00702315"/>
    <w:rsid w:val="00703E9C"/>
    <w:rsid w:val="00714B28"/>
    <w:rsid w:val="00724E16"/>
    <w:rsid w:val="00745298"/>
    <w:rsid w:val="00754C23"/>
    <w:rsid w:val="00774553"/>
    <w:rsid w:val="007A0119"/>
    <w:rsid w:val="007D74ED"/>
    <w:rsid w:val="008075CC"/>
    <w:rsid w:val="00813C7B"/>
    <w:rsid w:val="00823379"/>
    <w:rsid w:val="00844E85"/>
    <w:rsid w:val="0088485F"/>
    <w:rsid w:val="008D7AC9"/>
    <w:rsid w:val="009153C3"/>
    <w:rsid w:val="00920460"/>
    <w:rsid w:val="0096311B"/>
    <w:rsid w:val="0098102B"/>
    <w:rsid w:val="00987246"/>
    <w:rsid w:val="009C6F6E"/>
    <w:rsid w:val="009E0B3E"/>
    <w:rsid w:val="00AB044E"/>
    <w:rsid w:val="00AE2AFD"/>
    <w:rsid w:val="00AE4CCA"/>
    <w:rsid w:val="00B80A36"/>
    <w:rsid w:val="00BD60CB"/>
    <w:rsid w:val="00C17711"/>
    <w:rsid w:val="00C244CF"/>
    <w:rsid w:val="00CA0FC0"/>
    <w:rsid w:val="00CA3132"/>
    <w:rsid w:val="00D307B5"/>
    <w:rsid w:val="00D716D9"/>
    <w:rsid w:val="00D77056"/>
    <w:rsid w:val="00D81523"/>
    <w:rsid w:val="00DA6CF7"/>
    <w:rsid w:val="00DC4375"/>
    <w:rsid w:val="00DC54F7"/>
    <w:rsid w:val="00DD61B3"/>
    <w:rsid w:val="00DD7493"/>
    <w:rsid w:val="00DE6269"/>
    <w:rsid w:val="00E0428E"/>
    <w:rsid w:val="00E3075A"/>
    <w:rsid w:val="00EE3698"/>
    <w:rsid w:val="00F17ABA"/>
    <w:rsid w:val="00F33A12"/>
    <w:rsid w:val="00F9238B"/>
    <w:rsid w:val="00FC78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A332BBE-03C0-4FC1-91F9-2D8F3EFF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7B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07B5"/>
    <w:pPr>
      <w:ind w:left="720"/>
      <w:contextualSpacing/>
    </w:pPr>
  </w:style>
  <w:style w:type="paragraph" w:styleId="Encabezado">
    <w:name w:val="header"/>
    <w:basedOn w:val="Normal"/>
    <w:link w:val="EncabezadoCar"/>
    <w:uiPriority w:val="99"/>
    <w:unhideWhenUsed/>
    <w:rsid w:val="009E0B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0B3E"/>
  </w:style>
  <w:style w:type="paragraph" w:styleId="Piedepgina">
    <w:name w:val="footer"/>
    <w:basedOn w:val="Normal"/>
    <w:link w:val="PiedepginaCar"/>
    <w:uiPriority w:val="99"/>
    <w:unhideWhenUsed/>
    <w:rsid w:val="009E0B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0B3E"/>
  </w:style>
  <w:style w:type="character" w:styleId="Refdecomentario">
    <w:name w:val="annotation reference"/>
    <w:basedOn w:val="Fuentedeprrafopredeter"/>
    <w:uiPriority w:val="99"/>
    <w:semiHidden/>
    <w:unhideWhenUsed/>
    <w:rsid w:val="001F12D2"/>
    <w:rPr>
      <w:sz w:val="16"/>
      <w:szCs w:val="16"/>
    </w:rPr>
  </w:style>
  <w:style w:type="paragraph" w:styleId="Textocomentario">
    <w:name w:val="annotation text"/>
    <w:basedOn w:val="Normal"/>
    <w:link w:val="TextocomentarioCar"/>
    <w:uiPriority w:val="99"/>
    <w:semiHidden/>
    <w:unhideWhenUsed/>
    <w:rsid w:val="001F12D2"/>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_tradnl"/>
    </w:rPr>
  </w:style>
  <w:style w:type="character" w:customStyle="1" w:styleId="TextocomentarioCar">
    <w:name w:val="Texto comentario Car"/>
    <w:basedOn w:val="Fuentedeprrafopredeter"/>
    <w:link w:val="Textocomentario"/>
    <w:uiPriority w:val="99"/>
    <w:semiHidden/>
    <w:rsid w:val="001F12D2"/>
    <w:rPr>
      <w:rFonts w:ascii="Times New Roman" w:eastAsia="Times New Roman" w:hAnsi="Times New Roman" w:cs="Times New Roman"/>
      <w:sz w:val="20"/>
      <w:szCs w:val="20"/>
      <w:lang w:val="en-US" w:eastAsia="es-ES_tradnl"/>
    </w:rPr>
  </w:style>
  <w:style w:type="paragraph" w:styleId="Textodeglobo">
    <w:name w:val="Balloon Text"/>
    <w:basedOn w:val="Normal"/>
    <w:link w:val="TextodegloboCar"/>
    <w:uiPriority w:val="99"/>
    <w:semiHidden/>
    <w:unhideWhenUsed/>
    <w:rsid w:val="001F12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12D2"/>
    <w:rPr>
      <w:rFonts w:ascii="Segoe UI" w:hAnsi="Segoe UI" w:cs="Segoe UI"/>
      <w:sz w:val="18"/>
      <w:szCs w:val="18"/>
    </w:rPr>
  </w:style>
  <w:style w:type="character" w:styleId="Hipervnculo">
    <w:name w:val="Hyperlink"/>
    <w:basedOn w:val="Fuentedeprrafopredeter"/>
    <w:uiPriority w:val="99"/>
    <w:unhideWhenUsed/>
    <w:rsid w:val="001507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698</Words>
  <Characters>3843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Francisco Vega Almada</dc:creator>
  <cp:keywords/>
  <dc:description/>
  <cp:lastModifiedBy>Rafael Martín Bastidas Adrían</cp:lastModifiedBy>
  <cp:revision>5</cp:revision>
  <cp:lastPrinted>2025-05-14T20:38:00Z</cp:lastPrinted>
  <dcterms:created xsi:type="dcterms:W3CDTF">2025-05-14T20:39:00Z</dcterms:created>
  <dcterms:modified xsi:type="dcterms:W3CDTF">2025-05-15T18:57:00Z</dcterms:modified>
</cp:coreProperties>
</file>